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503</w:t>
      </w:r>
    </w:p>
    <w:p>
      <w:r>
        <w:t>Bundesgericht (BGE), 1999-10-18, DE</w:t>
      </w:r>
    </w:p>
    <w:p>
      <w:r>
        <w:rPr>
          <w:b/>
        </w:rPr>
        <w:t xml:space="preserve">Quelle: </w:t>
      </w:r>
      <w:r>
        <w:t>https://mcp.opencaselaw.ch/entscheid/bge_125 V 503</w:t>
      </w:r>
    </w:p>
    <w:p>
      <w:r>
        <w:t>FR: ATF 125 V 503</w:t>
      </w:r>
    </w:p>
    <w:p>
      <w:r>
        <w:t>IT: DTF 125 V 503</w:t>
      </w:r>
    </w:p>
    <w:p>
      <w:pPr>
        <w:pStyle w:val="Heading2"/>
      </w:pPr>
      <w:r>
        <w:t>Regeste</w:t>
      </w:r>
    </w:p>
    <w:p>
      <w:r>
        <w:t>Regeste Art. 33 Abs. 1 des Abkommens vom 25. Februar 1964 zwischen der Schweizerischen Eidgenossenschaft und der Bundesrepublik Deutschland über Soziale Sicherheit: fristwahrende Wirkung der bei einem deutschen Bürgermeisteramt gegen eine Rentenverfügung der schweizerischen IV-Stelle für Versicherte im Ausland eingereichten Beschwerde. - Als "entsprechende Stelle" im Sinne von Art. 33 Abs. 1 des Abkommens gilt die Stelle, welche in einem parallelen innerstaatlichen Verfahren der anderen Vertragspartei zuständig wäre. - Der in § 91 des deutschen Sozialgerichtsgesetzes verankerte Grundsatz, wonach Eingaben an unzuständige innerstaatliche Behörden fristwahrende Wirkung haben und von Amtes wegen an die zuständige Behörde weiterzuleiten sind, findet im Rahmen der Bestimmung von Art. 33 Abs. 1 des Abkommens Anwendung.</w:t>
      </w:r>
    </w:p>
    <w:p>
      <w:pPr>
        <w:pStyle w:val="Heading2"/>
      </w:pPr>
      <w:r>
        <w:t>Erwägungen</w:t>
      </w:r>
    </w:p>
    <w:p>
      <w:r>
        <w:rPr>
          <w:b/>
        </w:rPr>
        <w:t>E. 1</w:t>
      </w:r>
    </w:p>
    <w:p>
      <w:r>
        <w:t>Die Verwaltungsgerichtsbeschwerde richtet sich gegen den vorinstanzlichen Nichteintretensentscheid. Das Eidg. Versicherungsgericht hat daher zu prüfen, ob die Vorinstanz zu Recht auf die bei ihr erhobene Beschwerde nicht eingetreten ist. Dagegen kann auf den in der Verwaltungsgerichtsbeschwerde gestellten materiellen Antrag nicht eingetreten werden (vgl. BGE 117 V 122 f. Erw. 1).</w:t>
      </w:r>
    </w:p>
    <w:p>
      <w:r>
        <w:rPr>
          <w:b/>
        </w:rPr>
        <w:t>E. 2</w:t>
      </w:r>
    </w:p>
    <w:p>
      <w:r>
        <w:t>Gemäss Art. 33 des Abkommens vom 25. Februar 1964 zwischen der Schweizerischen Eidgenossenschaft und der Bundesrepublik Deutschland über Soziale Sicherheit gelten Anträge, Erklärungen und Rechtsbehelfe, die nach den Rechtsvorschriften der einen Vertragspartei bei einer Behörde, einem Gericht, einem Träger oder einer anderen Stelle einzureichen sind, als bei der zuständigen Stelle eingereicht, wenn sie bei einer entsprechenden Stelle der anderen Vertragspartei eingereicht werden; der Tag, an dem die Anträge, Erklärungen und Rechtsbehelfe bei dieser Stelle eingehen, gilt als Tag des Eingangs bei der zuständigen Stelle (Abs. 1). Die Anträge, Erklärungen und Rechtsbehelfe werden von der Stelle, bei der sie eingereicht worden sind, unverzüglich an die zuständige Stelle der anderen Vertragspartei weitergeleitet (Abs. 2). Zur Weiterleitung der bei einer unzuständigen Stelle der einen Vertragspartei eingehenden Anträge, Erklärungen, Rechtsbehelfe und anderen Unterlagen an zuständige Stellen der anderen Vertragspartei können die Verbindungsstellen in Anspruch genommen werden (Art. 23 der Vereinbarung vom 25. August 1978 zur Durchführung des Abkommens zwischen der Schweizerischen Eidgenossenschaft und der Bundesrepublik Deutschland über Soziale Sicherheit).</w:t>
      </w:r>
    </w:p>
    <w:p>
      <w:r>
        <w:rPr>
          <w:b/>
        </w:rPr>
        <w:t>E. 3</w:t>
      </w:r>
    </w:p>
    <w:p>
      <w:r>
        <w:t>Im vorliegenden Fall hat die Rekurskommission in für das Eidg. Versicherungsgericht verbindlicher ( Art. 105 Abs. 2 OG ) und unbestrittener Weise festgestellt, dass die Rentenverfügung dem Beschwerdeführer am 5. September 1998 ausgehändigt worden ist (vgl. BGE 103 V 66 Erw. 2a; ZAK 1992 S. 370 Erw. 3a) und die Frist von 30 Tagen zur Einreichung eines Rechtsmittels ( Art. 69 IVG , Art. 84 Abs. 1 AHVG und Art. 50 VwVG ) demnach am 5. Oktober 1998 geendet hat ( Art. 81 IVG , Art. 96 AHVG und Art. 20 Abs. 1 VwVG ). Da einzig die Protokollaufgabe beim Bürgermeisteramt innert dieser BGE 125 V 503 S. 506 Frist erfolgt ist, stellt sich die Frage, ob der Versicherte damit rechtzeitig Beschwerde erhoben hat.</w:t>
      </w:r>
    </w:p>
    <w:p>
      <w:r>
        <w:rPr>
          <w:b/>
        </w:rPr>
        <w:t>E. 4</w:t>
      </w:r>
    </w:p>
    <w:p>
      <w:r>
        <w:t>a) Nach Massgabe von Art. 33 Abs. 1 des schweizerisch-deutschen Abkommens gilt die vorliegend an die Eidg. Rekurskommission zu richtende Beschwerde gegen die Rentenverfügung der IV-Stelle als fristgerecht eingereicht, wenn sie innert der gleichen Frist bei einer "entsprechenden Stelle" in Deutschland erhoben wird. Uneinigkeit besteht vorliegend einzig in der Frage, ob das Bürgermeisteramt als "entsprechende Stelle" im Sinne dieser staatsvertraglichen Bestimmung zu betrachten ist. b) Die Auslegung eines Staatsvertrages hat in erster Linie vom Vertragstext auszugehen. Erscheint dieser klar und ist seine Bedeutung, wie sie sich aus dem gewöhnlichen Sprachgebrauch sowie aus Gegenstand und Zweck des Übereinkommens ergibt, nicht offensichtlich sinnwidrig, so kommt eine über den Wortlaut hinausgehende ausdehnende bzw. einschränkende Auslegung nur in Frage, wenn aus dem Zusammenhang oder der Entstehungsgeschichte mit Sicherheit auf eine vom Wortlaut abweichende Willenseinigung der Vertragsstaaten zu schliessen ist ( BGE 124 V 228 Erw. 3a, BGE 121 V 43 Erw. 2c, BGE 117 V 269 Erw. 3b mit Hinweisen). c) Nach dem klaren Wortlaut der Bestimmung von Art. 33 Abs. 1 des schweizerisch-deutschen Abkommens (wie auch der analogen Normen in den übrigen von der Schweiz geschlossenen Sozialversicherungsabkommen; z.B. Frankreich: Art. 33 Abs. 1; Italien: Art. 21; Österreich: Art. 29; Griechenland: Art. 25; Portugal: Art. 34; Dänemark: Art. 34; Belgien: Art. 36 Abs. 1; Zypern: Art. 26) können die nach den Rechtsvorschriften der einen Vertragspartei bei einer bestimmten Stelle (Behörde, Gericht, Träger etc.) vorzunehmenden Rechtsvorkehren mit fristwahrender Wirkung an die Stelle, welche nach den Vorschriften der anderen Vertragspartei hiefür zuständig wäre, gerichtet werden. "Entsprechend" ist somit im Sinne von "in einem parallelen innerstaatlichen Verfahren der anderen Vertragspartei zuständig" zu verstehen. Dass damit, entgegen der Auffassung der Vorinstanz, nicht die in Art. 35 Abs. 2 des schweizerisch-deutschen Abkommens genannten Verbindungsstellen gemeint sind, ergibt sich auch, wenn die Bestimmung von Art. 33 Abs. 1 des schweizerisch-deutschen Abkommens im Zusammenhang mit Art. 23 der erwähnten schweizerisch-deutschen Verwaltungsvereinbarung gelesen wird, wonach die "entsprechenden Stellen" für die Weiterleitung solcher Eingaben die Verbindungsstellen in Anspruch nehmen können. BGE 125 V 503 S. 507 d) Damit bleibt vorliegend zu prüfen, ob gegen Bescheide der deutschen Rentenversicherung bei Bürgermeisterämtern ein Rechtsmittel eingelegt werden kann. Nach § 8 des deutschen Sozialgerichtsgesetzes vom 3. September 1953 (SGG) entscheiden die Sozialgerichte, soweit durch Gesetz nichts anderes bestimmt ist, im ersten Rechtszug über alle Streitigkeiten, für die der Rechtsweg vor den Gerichten der Sozialgerichtsbarkeit offensteht. Diese Voraussetzung ist vorliegend erfüllt, da es um eine öffentlichrechtliche Streitigkeit in einer Angelegenheit der Sozialversicherung geht, für welche dieser Rechtsweg in § 51 Abs. 1 SGG vorgesehen ist. Mit der Protokollaufgabe beim Bürgermeisteramt hat der Versicherte somit bei einer Stelle Beschwerde erhoben, die auch nach deutschem innerstaatlichen Recht in einem analogen Verfahren hiefür nicht zuständig wäre. Indessen kennt auch das deutsche Recht den Grundsatz, dass Eingaben an unzuständige innerstaatliche Behörden fristwahrende Wirkung haben und von Amtes wegen an die zuständige Behörde weiterzuleiten sind (für das schweizerische Recht: BGE 111 V 406 ). Gemäss § 91 SGG gilt die Frist für die Erhebung der Klage auch dann als gewahrt, wenn die Klageschrift innerhalb der Frist statt bei dem zuständigen Gericht der Sozialgerichtsbarkeit bei einer anderen inländischen Behörde oder bei einem Versicherungsträger oder bei einer deutschen Konsularbehörde oder, soweit es sich um die Versicherung von Seeleuten handelt, auch bei einem deutschen Seemannsamt im Ausland eingegangen ist (Abs. 1). Die Klageschrift ist alsdann unverzüglich an das zuständige Gericht der Sozialgerichtsbarkeit abzugeben (Abs. 2). Dabei gelten als Behörden im Sinne von § 91 Abs. 1 SGG alle Stellen, die Aufgaben der öffentlichen Verwaltung wahrnehmen (JENS MEYER-LADEWIG, Sozialgerichtsgesetz, 6. Aufl., München 1998, S. 457, N. 3 zu § 91). Da das Bürgermeisteramt diese Voraussetzung erfüllt, kommt der bei ihm erfolgten Protokollaufgabe fristwahrende Wirkung zu. Wurde die Beschwerde somit rechtzeitig erhoben, hat die Eidg. Rekurskommission auf das Rechtsmittel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